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 (ASSUMING WE USE SMOKIES TREE RING RECORDS)</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w:t>
      </w:r>
      <w:r>
        <w:t xml:space="preserve"> </w:t>
      </w:r>
      <w:r>
        <w:rPr>
          <w:bCs/>
          <w:b/>
        </w:rPr>
        <w:t xml:space="preserve">#</w:t>
      </w:r>
      <w:r>
        <w:t xml:space="preserve"> </w:t>
      </w:r>
      <w:r>
        <w:t xml:space="preserve">tree-ring chronologies from</w:t>
      </w:r>
      <w:r>
        <w:t xml:space="preserve"> </w:t>
      </w:r>
      <w:r>
        <w:rPr>
          <w:bCs/>
          <w:b/>
        </w:rPr>
        <w:t xml:space="preserve">#</w:t>
      </w:r>
      <w:r>
        <w:t xml:space="preserve"> </w:t>
      </w:r>
      <w:r>
        <w:t xml:space="preserve">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global atmospheric CO</w:t>
      </w:r>
      <w:r>
        <w:rPr>
          <w:vertAlign w:val="subscript"/>
        </w:rPr>
        <w:t xml:space="preserve">2</w:t>
      </w:r>
      <w:r>
        <w:t xml:space="preserve"> </w:t>
      </w:r>
      <w:r>
        <w:t xml:space="preserve">concentrations increase and Earth’s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17</w:t>
      </w:r>
      <w:r>
        <w:rPr>
          <w:bCs/>
          <w:b/>
        </w:rPr>
        <w:t xml:space="preserve"> </w:t>
      </w:r>
      <w:r>
        <w:rPr>
          <w:bCs/>
          <w:b/>
        </w:rPr>
        <w:t xml:space="preserve">and</w:t>
      </w:r>
      <w:r>
        <w:rPr>
          <w:bCs/>
          <w:b/>
        </w:rPr>
        <w:t xml:space="preserve"> </w:t>
      </w:r>
      <w:r>
        <w:rPr>
          <w:iCs/>
          <w:i/>
          <w:bCs/>
          <w:b/>
        </w:rPr>
        <w:t xml:space="preserve">often later autumn</w:t>
      </w:r>
      <w:r>
        <w:rPr>
          <w:bCs/>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3,4,6,7,13,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18–20</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Cs/>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21</w:t>
      </w:r>
      <w:r>
        <w:t xml:space="preserve"> </w:t>
      </w:r>
      <w:r>
        <w:t xml:space="preserve">[MORE]), but rely purely on correlations of annual growth to monthly temperatures and can tell us nothing about the timing of that growth.</w:t>
      </w:r>
    </w:p>
    <w:p>
      <w:pPr>
        <w:pStyle w:val="BodyText"/>
      </w:pPr>
      <w:r>
        <w:rPr>
          <w:iCs/>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Cs/>
          <w:i/>
        </w:rPr>
        <w:t xml:space="preserve">22</w:t>
      </w:r>
      <w:r>
        <w:rPr>
          <w:iCs/>
          <w:i/>
        </w:rPr>
        <w:t xml:space="preserve"> </w:t>
      </w:r>
      <w:r>
        <w:t xml:space="preserve"> </w:t>
      </w:r>
      <w:r>
        <w:rPr>
          <w:bCs/>
          <w:b/>
        </w:rPr>
        <w:t xml:space="preserve">Here, we characterize how early spring temperatures affect stem growth phenology, maximum daily growth rates, and annual growth of temperate deciduous trees, separated into ring- and diffuse-porous groupings, which differ in growth phenology[</w:t>
      </w:r>
      <w:r>
        <w:rPr>
          <w:iCs/>
          <w:i/>
          <w:bCs/>
          <w:b/>
        </w:rPr>
        <w:t xml:space="preserve">D’Orangeville</w:t>
      </w:r>
      <w:r>
        <w:rPr>
          <w:bCs/>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22</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Cs/>
          <w:i/>
        </w:rPr>
        <w:t xml:space="preserve">(We also look at leaf phenology.)</w:t>
      </w:r>
      <w:r>
        <w:t xml:space="preserve"> </w:t>
      </w:r>
      <w:r>
        <w:t xml:space="preserve">Second, at these focal sites and</w:t>
      </w:r>
      <w:r>
        <w:t xml:space="preserve"> </w:t>
      </w:r>
      <w:r>
        <w:rPr>
          <w:iCs/>
          <w:i/>
        </w:rPr>
        <w:t xml:space="preserve">#</w:t>
      </w:r>
      <w:r>
        <w:t xml:space="preserve"> </w:t>
      </w:r>
      <w:r>
        <w:t xml:space="preserve">additional sites distributed</w:t>
      </w:r>
      <w:r>
        <w:t xml:space="preserve"> </w:t>
      </w:r>
      <w:r>
        <w:rPr>
          <w:iCs/>
          <w:i/>
        </w:rPr>
        <w:t xml:space="preserve">xxxx</w:t>
      </w:r>
      <w:r>
        <w:t xml:space="preserve">, we analyze</w:t>
      </w:r>
      <w:r>
        <w:t xml:space="preserve"> </w:t>
      </w:r>
      <w:r>
        <w:rPr>
          <w:iCs/>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2"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42672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title="" id="1" name="Picture"/>
            <a:graphic>
              <a:graphicData uri="http://schemas.openxmlformats.org/drawingml/2006/picture">
                <pic:pic>
                  <pic:nvPicPr>
                    <pic:cNvPr descr="tables_figures/DOYtiming_stemgrowth+foliage.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29"/>
    <w:bookmarkStart w:id="3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1"/>
    <w:bookmarkEnd w:id="32"/>
    <w:bookmarkStart w:id="33"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Cs/>
          <w:i/>
        </w:rPr>
        <w:t xml:space="preserve">annual growth is most commonly controlled by climate conditions during the peak growing season</w:t>
      </w:r>
      <w:r>
        <w:t xml:space="preserve"> </w:t>
      </w:r>
      <w:r>
        <w:t xml:space="preserve">[Fig. 4;],</w:t>
      </w:r>
      <w:r>
        <w:rPr>
          <w:vertAlign w:val="superscript"/>
        </w:rPr>
        <w:t xml:space="preserve">21</w:t>
      </w:r>
      <w:r>
        <w:t xml:space="preserve"> .</w:t>
      </w:r>
      <w:r>
        <w:t xml:space="preserve"> </w:t>
      </w:r>
      <w:r>
        <w:t xml:space="preserve">(</w:t>
      </w:r>
      <w:r>
        <w:rPr>
          <w:iCs/>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3"/>
    <w:bookmarkStart w:id="34"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12,20</w:t>
      </w:r>
      <w:r>
        <w:t xml:space="preserve"> This idea agrees with patterns seen in tree cores, where peak growing season climate was more influential than spring climate</w:t>
      </w:r>
      <w:r>
        <w:rPr>
          <w:vertAlign w:val="superscript"/>
        </w:rPr>
        <w:t xml:space="preserve">21</w:t>
      </w:r>
      <w:r>
        <w:t xml:space="preserve"> </w:t>
      </w:r>
      <w:r>
        <w:t xml:space="preserve">but many models still predict the extension of growing season will increase NEE.</w:t>
      </w:r>
    </w:p>
    <w:p>
      <w:pPr>
        <w:pStyle w:val="BodyText"/>
      </w:pPr>
      <w:r>
        <w:rPr>
          <w:vertAlign w:val="superscript"/>
        </w:rPr>
        <w:t xml:space="preserve">23</w:t>
      </w:r>
    </w:p>
    <w:p>
      <w:pPr>
        <w:pStyle w:val="BodyText"/>
      </w:pPr>
      <w:r>
        <w:t xml:space="preserve">From Neil:,</w:t>
      </w:r>
      <w:r>
        <w:rPr>
          <w:vertAlign w:val="superscript"/>
        </w:rPr>
        <w:t xml:space="preserve">24</w:t>
      </w:r>
      <w:r>
        <w:rPr>
          <w:vertAlign w:val="superscript"/>
        </w:rPr>
        <w:t xml:space="preserve">25</w:t>
      </w:r>
    </w:p>
    <w:p>
      <w:pPr>
        <w:pStyle w:val="BodyText"/>
      </w:pPr>
      <w:r>
        <w:t xml:space="preserve">effect of spring temperature on annual growth in New England:</w:t>
      </w:r>
      <w:r>
        <w:rPr>
          <w:vertAlign w:val="superscript"/>
        </w:rPr>
        <w:t xml:space="preserve">26</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4"/>
    <w:bookmarkStart w:id="44" w:name="methods"/>
    <w:p>
      <w:pPr>
        <w:pStyle w:val="Heading1"/>
      </w:pPr>
      <w:r>
        <w:t xml:space="preserve">Methods</w:t>
      </w:r>
    </w:p>
    <w:bookmarkStart w:id="35"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5"/>
    <w:bookmarkStart w:id="41" w:name="data-collection-and-preparation"/>
    <w:p>
      <w:pPr>
        <w:pStyle w:val="Heading2"/>
      </w:pPr>
      <w:r>
        <w:t xml:space="preserve">Data collection and preparation</w:t>
      </w:r>
    </w:p>
    <w:bookmarkStart w:id="3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22</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22</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6"/>
    <w:bookmarkStart w:id="3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21</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27</w:t>
      </w:r>
      <w:r>
        <w:t xml:space="preserve"> and trees found newly dead in annual tree mortality in 2016 and 2017.</w:t>
      </w:r>
      <w:r>
        <w:rPr>
          <w:vertAlign w:val="superscript"/>
        </w:rPr>
        <w:t xml:space="preserve">21</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28,29</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30</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31</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28</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28</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7"/>
    <w:bookmarkStart w:id="40"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38">
        <w:r>
          <w:rPr>
            <w:rStyle w:val="Hyperlink"/>
          </w:rPr>
          <w:t xml:space="preserve">https://forestgeo.github.io/Climate/</w:t>
        </w:r>
      </w:hyperlink>
      <w:r>
        <w:t xml:space="preserve">;].</w:t>
      </w:r>
      <w:r>
        <w:rPr>
          <w:vertAlign w:val="superscript"/>
        </w:rPr>
        <w:t xml:space="preserve">32</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9">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33</w:t>
      </w:r>
      <w:r>
        <w:t xml:space="preserve"> again via the ForestGEO Climate Data Portal v1.0.</w:t>
      </w:r>
      <w:r>
        <w:rPr>
          <w:vertAlign w:val="superscript"/>
        </w:rPr>
        <w:t xml:space="preserve">32</w:t>
      </w:r>
    </w:p>
    <w:bookmarkEnd w:id="40"/>
    <w:bookmarkEnd w:id="41"/>
    <w:bookmarkStart w:id="42"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34</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21</w:t>
      </w:r>
      <w:r>
        <w:t xml:space="preserve"> Determining the climate variables that most strongly control all parameters is beyond the scope of this analysis.</w:t>
      </w:r>
    </w:p>
    <w:bookmarkEnd w:id="42"/>
    <w:bookmarkStart w:id="43"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35</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3"/>
    <w:bookmarkEnd w:id="44"/>
    <w:bookmarkStart w:id="45"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5"/>
    <w:bookmarkStart w:id="46" w:name="author-contributions"/>
    <w:p>
      <w:pPr>
        <w:pStyle w:val="Heading1"/>
      </w:pPr>
      <w:r>
        <w:t xml:space="preserve">Author Contributions</w:t>
      </w:r>
    </w:p>
    <w:bookmarkEnd w:id="46"/>
    <w:bookmarkStart w:id="47"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7"/>
    <w:bookmarkStart w:id="88" w:name="references"/>
    <w:p>
      <w:pPr>
        <w:pStyle w:val="Heading1"/>
      </w:pPr>
      <w:r>
        <w:t xml:space="preserve">References</w:t>
      </w:r>
    </w:p>
    <w:bookmarkStart w:id="87" w:name="refs"/>
    <w:bookmarkStart w:id="48" w:name="ref-menzel_growing_1999"/>
    <w:p>
      <w:pPr>
        <w:pStyle w:val="Bibliography"/>
      </w:pPr>
      <w:r>
        <w:t xml:space="preserve">1.</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48"/>
    <w:bookmarkStart w:id="49" w:name="ref-menzel_european_2006"/>
    <w:p>
      <w:pPr>
        <w:pStyle w:val="Bibliography"/>
      </w:pPr>
      <w:r>
        <w:t xml:space="preserve">2.</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49"/>
    <w:bookmarkStart w:id="50" w:name="ref-ibanez_forecasting_2010"/>
    <w:p>
      <w:pPr>
        <w:pStyle w:val="Bibliography"/>
      </w:pPr>
      <w:r>
        <w:t xml:space="preserve">3.</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0"/>
    <w:bookmarkStart w:id="51" w:name="ref-jeong_phenology_2011"/>
    <w:p>
      <w:pPr>
        <w:pStyle w:val="Bibliography"/>
      </w:pPr>
      <w:r>
        <w:t xml:space="preserve">4.</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1"/>
    <w:bookmarkStart w:id="52"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2"/>
    <w:bookmarkStart w:id="53"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3"/>
    <w:bookmarkStart w:id="54"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4"/>
    <w:bookmarkStart w:id="56"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5">
        <w:r>
          <w:rPr>
            <w:rStyle w:val="Hyperlink"/>
          </w:rPr>
          <w:t xml:space="preserve">10.1088/1748-9326/abed01</w:t>
        </w:r>
      </w:hyperlink>
      <w:r>
        <w:t xml:space="preserve">.</w:t>
      </w:r>
    </w:p>
    <w:bookmarkEnd w:id="56"/>
    <w:bookmarkStart w:id="57"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7"/>
    <w:bookmarkStart w:id="58"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58"/>
    <w:bookmarkStart w:id="59"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59"/>
    <w:bookmarkStart w:id="60"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0"/>
    <w:bookmarkStart w:id="61"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1"/>
    <w:bookmarkStart w:id="62"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2"/>
    <w:bookmarkStart w:id="63"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3"/>
    <w:bookmarkStart w:id="64"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4"/>
    <w:bookmarkStart w:id="65"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5"/>
    <w:bookmarkStart w:id="66" w:name="ref-churkina_spatial_2005"/>
    <w:p>
      <w:pPr>
        <w:pStyle w:val="Bibliography"/>
      </w:pPr>
      <w:r>
        <w:t xml:space="preserve">18.</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6"/>
    <w:bookmarkStart w:id="67" w:name="ref-keenan_net_2014"/>
    <w:p>
      <w:pPr>
        <w:pStyle w:val="Bibliography"/>
      </w:pPr>
      <w:r>
        <w:t xml:space="preserve">19.</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67"/>
    <w:bookmarkStart w:id="68" w:name="ref-zhou_explaining_2016"/>
    <w:p>
      <w:pPr>
        <w:pStyle w:val="Bibliography"/>
      </w:pPr>
      <w:r>
        <w:t xml:space="preserve">20.</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68"/>
    <w:bookmarkStart w:id="69" w:name="ref-helcoski_growing_2019"/>
    <w:p>
      <w:pPr>
        <w:pStyle w:val="Bibliography"/>
      </w:pPr>
      <w:r>
        <w:t xml:space="preserve">21.</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69"/>
    <w:bookmarkStart w:id="70" w:name="ref-mcmahon_general_2015"/>
    <w:p>
      <w:pPr>
        <w:pStyle w:val="Bibliography"/>
      </w:pPr>
      <w:r>
        <w:t xml:space="preserve">22.</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0"/>
    <w:bookmarkStart w:id="72" w:name="ref-delgado_differences_2020"/>
    <w:p>
      <w:pPr>
        <w:pStyle w:val="Bibliography"/>
      </w:pPr>
      <w:r>
        <w:t xml:space="preserve">23.</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1">
        <w:r>
          <w:rPr>
            <w:rStyle w:val="Hyperlink"/>
          </w:rPr>
          <w:t xml:space="preserve">10.1073/pnas.2002713117</w:t>
        </w:r>
      </w:hyperlink>
      <w:r>
        <w:t xml:space="preserve">.</w:t>
      </w:r>
    </w:p>
    <w:bookmarkEnd w:id="72"/>
    <w:bookmarkStart w:id="73" w:name="ref-zhang_drought_2021"/>
    <w:p>
      <w:pPr>
        <w:pStyle w:val="Bibliography"/>
      </w:pPr>
      <w:r>
        <w:t xml:space="preserve">24.</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3"/>
    <w:bookmarkStart w:id="74" w:name="ref-zhang_extended_2020"/>
    <w:p>
      <w:pPr>
        <w:pStyle w:val="Bibliography"/>
      </w:pPr>
      <w:r>
        <w:t xml:space="preserve">25.</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4"/>
    <w:bookmarkStart w:id="75" w:name="ref-alexander_potential_2019"/>
    <w:p>
      <w:pPr>
        <w:pStyle w:val="Bibliography"/>
      </w:pPr>
      <w:r>
        <w:t xml:space="preserve">26.</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5"/>
    <w:bookmarkStart w:id="76" w:name="ref-bourg_initial_2013"/>
    <w:p>
      <w:pPr>
        <w:pStyle w:val="Bibliography"/>
      </w:pPr>
      <w:r>
        <w:t xml:space="preserve">27.</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6"/>
    <w:bookmarkStart w:id="77" w:name="ref-cook_time_1985"/>
    <w:p>
      <w:pPr>
        <w:pStyle w:val="Bibliography"/>
      </w:pPr>
      <w:r>
        <w:t xml:space="preserve">28.</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77"/>
    <w:bookmarkStart w:id="79" w:name="ref-cook_methods_1990"/>
    <w:p>
      <w:pPr>
        <w:pStyle w:val="Bibliography"/>
      </w:pPr>
      <w:r>
        <w:t xml:space="preserve">29.</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78">
        <w:r>
          <w:rPr>
            <w:rStyle w:val="Hyperlink"/>
          </w:rPr>
          <w:t xml:space="preserve">10.1007/978-94-015-7879-0</w:t>
        </w:r>
      </w:hyperlink>
      <w:r>
        <w:t xml:space="preserve">.</w:t>
      </w:r>
    </w:p>
    <w:bookmarkEnd w:id="79"/>
    <w:bookmarkStart w:id="80" w:name="ref-cook_calculating_1997"/>
    <w:p>
      <w:pPr>
        <w:pStyle w:val="Bibliography"/>
      </w:pPr>
      <w:r>
        <w:t xml:space="preserve">30.</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0"/>
    <w:bookmarkStart w:id="81" w:name="ref-jones_estimating_1997"/>
    <w:p>
      <w:pPr>
        <w:pStyle w:val="Bibliography"/>
      </w:pPr>
      <w:r>
        <w:t xml:space="preserve">31.</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1"/>
    <w:bookmarkStart w:id="83" w:name="ref-anderson-teixeira_forestgeo_2020"/>
    <w:p>
      <w:pPr>
        <w:pStyle w:val="Bibliography"/>
      </w:pPr>
      <w:r>
        <w:t xml:space="preserve">32.</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2">
        <w:r>
          <w:rPr>
            <w:rStyle w:val="Hyperlink"/>
          </w:rPr>
          <w:t xml:space="preserve">10.5281/ZENODO.4041609</w:t>
        </w:r>
      </w:hyperlink>
      <w:r>
        <w:t xml:space="preserve">.</w:t>
      </w:r>
    </w:p>
    <w:bookmarkEnd w:id="83"/>
    <w:bookmarkStart w:id="84" w:name="ref-harris_version_2020"/>
    <w:p>
      <w:pPr>
        <w:pStyle w:val="Bibliography"/>
      </w:pPr>
      <w:r>
        <w:t xml:space="preserve">33.</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4"/>
    <w:bookmarkStart w:id="85" w:name="ref-vandepol_identifying_2016"/>
    <w:p>
      <w:pPr>
        <w:pStyle w:val="Bibliography"/>
      </w:pPr>
      <w:r>
        <w:t xml:space="preserve">34.</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5"/>
    <w:bookmarkStart w:id="86" w:name="ref-bates_fitting_2015"/>
    <w:p>
      <w:pPr>
        <w:pStyle w:val="Bibliography"/>
      </w:pPr>
      <w:r>
        <w:t xml:space="preserve">35.</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tiff" /><Relationship Type="http://schemas.openxmlformats.org/officeDocument/2006/relationships/hyperlink" Id="rId78" Target="https://doi.org/10.1007/978-94-015-7879-0" TargetMode="External" /><Relationship Type="http://schemas.openxmlformats.org/officeDocument/2006/relationships/hyperlink" Id="rId71" Target="https://doi.org/10.1073/pnas.2002713117" TargetMode="External" /><Relationship Type="http://schemas.openxmlformats.org/officeDocument/2006/relationships/hyperlink" Id="rId55" Target="https://doi.org/10.1088/1748-9326/abed01" TargetMode="External" /><Relationship Type="http://schemas.openxmlformats.org/officeDocument/2006/relationships/hyperlink" Id="rId82" Target="https://doi.org/10.5281/ZENODO.4041609" TargetMode="External" /><Relationship Type="http://schemas.openxmlformats.org/officeDocument/2006/relationships/hyperlink" Id="rId38"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9"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8" Target="https://doi.org/10.1007/978-94-015-7879-0" TargetMode="External" /><Relationship Type="http://schemas.openxmlformats.org/officeDocument/2006/relationships/hyperlink" Id="rId71" Target="https://doi.org/10.1073/pnas.2002713117" TargetMode="External" /><Relationship Type="http://schemas.openxmlformats.org/officeDocument/2006/relationships/hyperlink" Id="rId55" Target="https://doi.org/10.1088/1748-9326/abed01" TargetMode="External" /><Relationship Type="http://schemas.openxmlformats.org/officeDocument/2006/relationships/hyperlink" Id="rId82" Target="https://doi.org/10.5281/ZENODO.4041609" TargetMode="External" /><Relationship Type="http://schemas.openxmlformats.org/officeDocument/2006/relationships/hyperlink" Id="rId38"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9"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2021-04-05T22:19:52Z</dcterms:created>
  <dcterms:modified xsi:type="dcterms:W3CDTF">2021-04-05T22:19:52Z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